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-01/0</w:t>
      </w:r>
      <w:r w:rsidR="00F30646">
        <w:rPr>
          <w:rFonts w:asciiTheme="majorHAnsi" w:hAnsiTheme="majorHAnsi"/>
          <w:sz w:val="24"/>
        </w:rPr>
        <w:t>3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</w:t>
      </w:r>
      <w:r w:rsidR="00F30646">
        <w:rPr>
          <w:rFonts w:asciiTheme="majorHAnsi" w:hAnsiTheme="majorHAnsi"/>
          <w:sz w:val="24"/>
        </w:rPr>
        <w:t>0</w:t>
      </w:r>
      <w:r w:rsidR="0073204E">
        <w:rPr>
          <w:rFonts w:asciiTheme="majorHAnsi" w:hAnsiTheme="majorHAnsi"/>
          <w:sz w:val="24"/>
        </w:rPr>
        <w:t>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3204E">
        <w:rPr>
          <w:rFonts w:asciiTheme="majorHAnsi" w:hAnsiTheme="majorHAnsi"/>
          <w:sz w:val="24"/>
        </w:rPr>
        <w:t xml:space="preserve">25. </w:t>
      </w:r>
      <w:r w:rsidR="00F30646">
        <w:rPr>
          <w:rFonts w:asciiTheme="majorHAnsi" w:hAnsiTheme="majorHAnsi"/>
          <w:sz w:val="24"/>
        </w:rPr>
        <w:t>veljače</w:t>
      </w:r>
      <w:r w:rsidR="0073204E">
        <w:rPr>
          <w:rFonts w:asciiTheme="majorHAnsi" w:hAnsiTheme="majorHAnsi"/>
          <w:sz w:val="24"/>
        </w:rPr>
        <w:t xml:space="preserve"> 20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 MATEMATIKE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40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vremena, do povratka djelatnice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 GLAZBENE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neodređeno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nepuno</w:t>
      </w:r>
      <w:r w:rsidRPr="0035473A">
        <w:rPr>
          <w:rFonts w:ascii="Arial" w:hAnsi="Arial" w:cs="Arial"/>
        </w:rPr>
        <w:t xml:space="preserve"> radno vrijeme, 14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6/19.)</w:t>
      </w:r>
    </w:p>
    <w:p w:rsidR="00B632E8" w:rsidRPr="0035473A" w:rsidRDefault="00B632E8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5473A">
        <w:rPr>
          <w:rFonts w:ascii="Arial" w:eastAsia="Times New Roman" w:hAnsi="Arial" w:cs="Arial"/>
          <w:b/>
          <w:u w:val="single"/>
          <w:lang w:eastAsia="hr-HR"/>
        </w:rPr>
        <w:t>MATEMATIKA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39"/>
        <w:gridCol w:w="2814"/>
        <w:gridCol w:w="3641"/>
      </w:tblGrid>
      <w:tr w:rsidR="00B632E8" w:rsidRPr="00FE6FF9" w:rsidTr="00032A4D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diplomski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informatika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integrirani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preddiplomski i diplomski sveučilišni studij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fizika/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Fizika i 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sveučilišni studij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    integrirani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preddiplomski i 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lastRenderedPageBreak/>
              <w:t>–     magistar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edukacije matematike i fizike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lastRenderedPageBreak/>
              <w:t>–     magistar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matematike i fizike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Drugi studijski program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svi smjerovi/ programi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edukacije matematike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632E8" w:rsidRDefault="00B632E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p w:rsidR="00FD6CB8" w:rsidRPr="0035473A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5473A">
        <w:rPr>
          <w:rFonts w:ascii="Arial" w:eastAsia="Times New Roman" w:hAnsi="Arial" w:cs="Arial"/>
          <w:b/>
          <w:u w:val="single"/>
          <w:lang w:eastAsia="hr-HR"/>
        </w:rPr>
        <w:t>GLAZBENA KULTURA</w:t>
      </w:r>
    </w:p>
    <w:p w:rsidR="00FD6CB8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614"/>
        <w:gridCol w:w="2331"/>
        <w:gridCol w:w="3549"/>
      </w:tblGrid>
      <w:tr w:rsidR="00FD6CB8" w:rsidRPr="00083A4D" w:rsidTr="00FD6CB8">
        <w:tc>
          <w:tcPr>
            <w:tcW w:w="366" w:type="pct"/>
            <w:tcBorders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kultura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glazbene kulture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FD6CB8" w:rsidRPr="00083A4D" w:rsidTr="00FD6CB8"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glazbene kulture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glazbenoga odgoja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pedagogija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smjer: nastavnički ili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pedagogije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Crkvena glazba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glazbena pedagogija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pedagogije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teoretskih glazbenih predmeta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crkvene glazbe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Teorija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teorije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teoretskih glazbenih predmeta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Borders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teorije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teorije glazbenih predmeta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proofErr w:type="spellStart"/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smjerovi: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Etnomuzikologija,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Historijska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Sistematska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Dirigiranje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Dirigiranje, Zborsko dirigiranje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akademski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muzičar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dirigent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dirigent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Zborsko dirigiranje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akademski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muzičar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dirigent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dirigent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Kompozicija/Kompozicije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Kompozicija,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Elektronička kompozicija,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Elektronička kompozicija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Elektronička kompozicija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Pjevanje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 – modul operni, Izvođački – modul koncertni,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pjevanja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Solo pjevanje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Crkvena glazba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Orgulje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crkvene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orgulja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crkveni glazbenik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Čembalo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Fagot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fagota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fagotist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fagotist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Flauta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flaute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flautist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flautist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Puhački instrumenti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Flauta, Klarinet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Gitara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gitare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gitarist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gitarist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smjer: Gitara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Glasovir/Klavir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glasovira (profesor klavira)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klavirist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glasosvirač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 </w:t>
            </w: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smjer: Klavir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Gudački instrumenti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smjerovi: Violina, Viola, Violončelo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Harfa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harfe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harfist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harfist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Klarinet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klarineta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klarinetist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klarinetist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Klasična harmonika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harmonike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Kontrabas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kontrabasa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Oboa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oboe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oboist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oboist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Rog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profesor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(roga)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Saksofon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saksofona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saksofonist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saksofonist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Trombom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tromblona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pozaune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trombonist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trombonist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Tuba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tube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Truba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trublje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trubač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trubač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Violina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violine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violinist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violinist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Violončelo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violončela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violončelist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violončelist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Udaraljke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udaraljki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udaraljkaš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udaraljkaš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odgovarajućega instrumenta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odgovarajućega instrumenta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odgovarajućega instrumenta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učitelj razredne nastave s pojačanim programom iz nastavnoga predmeta Glazbene kulture</w:t>
            </w:r>
          </w:p>
        </w:tc>
      </w:tr>
      <w:tr w:rsidR="00FD6CB8" w:rsidRPr="00083A4D" w:rsidTr="00FD6CB8">
        <w:tc>
          <w:tcPr>
            <w:tcW w:w="366" w:type="pc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pedagogija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glazbene pedagogije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Teorija glazbe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teorije glazbe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glazbene teorije</w:t>
            </w:r>
          </w:p>
        </w:tc>
      </w:tr>
    </w:tbl>
    <w:p w:rsidR="009871DC" w:rsidRPr="0035473A" w:rsidRDefault="00FD6CB8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i/>
          <w:color w:val="00B0F0"/>
          <w:lang w:eastAsia="hr-HR"/>
        </w:rPr>
        <w:br w:type="textWrapping" w:clear="all"/>
      </w:r>
      <w:r w:rsidR="009871DC"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7A0525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>dana 2</w:t>
      </w:r>
      <w:r w:rsidR="00F30646">
        <w:rPr>
          <w:rFonts w:ascii="Arial" w:hAnsi="Arial" w:cs="Arial"/>
          <w:b/>
          <w:lang w:bidi="hr-HR"/>
        </w:rPr>
        <w:t>6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30646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2</w:t>
      </w:r>
      <w:r w:rsidR="00F30646">
        <w:rPr>
          <w:rFonts w:ascii="Arial" w:hAnsi="Arial" w:cs="Arial"/>
          <w:b/>
          <w:lang w:bidi="hr-HR"/>
        </w:rPr>
        <w:t>6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30646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5. </w:t>
      </w:r>
      <w:r w:rsidR="00F30646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bookmarkStart w:id="0" w:name="_GoBack"/>
      <w:bookmarkEnd w:id="0"/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25" w:rsidRDefault="007A0525" w:rsidP="00F17029">
      <w:pPr>
        <w:spacing w:after="0" w:line="240" w:lineRule="auto"/>
      </w:pPr>
      <w:r>
        <w:separator/>
      </w:r>
    </w:p>
  </w:endnote>
  <w:endnote w:type="continuationSeparator" w:id="0">
    <w:p w:rsidR="007A0525" w:rsidRDefault="007A0525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25" w:rsidRDefault="007A0525" w:rsidP="00F17029">
      <w:pPr>
        <w:spacing w:after="0" w:line="240" w:lineRule="auto"/>
      </w:pPr>
      <w:r>
        <w:separator/>
      </w:r>
    </w:p>
  </w:footnote>
  <w:footnote w:type="continuationSeparator" w:id="0">
    <w:p w:rsidR="007A0525" w:rsidRDefault="007A0525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504266"/>
    <w:rsid w:val="005A2D2E"/>
    <w:rsid w:val="005E2C91"/>
    <w:rsid w:val="00610087"/>
    <w:rsid w:val="0073204E"/>
    <w:rsid w:val="00784BC6"/>
    <w:rsid w:val="007A0525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0646"/>
    <w:rsid w:val="00F34BD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0959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3D82-FC86-4320-89A6-67006CD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0</TotalTime>
  <Pages>8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2020-02-25T12:57:00Z</cp:lastPrinted>
  <dcterms:created xsi:type="dcterms:W3CDTF">2020-02-25T13:00:00Z</dcterms:created>
  <dcterms:modified xsi:type="dcterms:W3CDTF">2020-02-25T13:00:00Z</dcterms:modified>
</cp:coreProperties>
</file>